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D352AB" w:rsidRDefault="00D352AB" w:rsidP="001D149A">
      <w:pPr>
        <w:spacing w:after="0" w:line="480" w:lineRule="auto"/>
        <w:contextualSpacing/>
        <w:jc w:val="center"/>
        <w:rPr>
          <w:rFonts w:ascii="Times New Roman" w:hAnsi="Times New Roman"/>
          <w:sz w:val="24"/>
          <w:szCs w:val="24"/>
        </w:rPr>
      </w:pPr>
    </w:p>
    <w:p w:rsidR="00D352AB" w:rsidRPr="001D149A" w:rsidRDefault="00D352AB" w:rsidP="001D149A">
      <w:pPr>
        <w:spacing w:after="0" w:line="480" w:lineRule="auto"/>
        <w:contextualSpacing/>
        <w:jc w:val="center"/>
        <w:rPr>
          <w:rFonts w:ascii="Times New Roman" w:hAnsi="Times New Roman"/>
          <w:sz w:val="24"/>
          <w:szCs w:val="24"/>
        </w:rPr>
      </w:pPr>
    </w:p>
    <w:p w:rsidR="00C7314B" w:rsidRDefault="00ED05BF"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Type 2 Diabetes Mellitus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ED05BF" w:rsidRDefault="00FF557B" w:rsidP="00ED05BF">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ED05BF">
        <w:rPr>
          <w:rFonts w:ascii="Times New Roman" w:hAnsi="Times New Roman"/>
          <w:sz w:val="24"/>
        </w:rPr>
        <w:lastRenderedPageBreak/>
        <w:t>Type 2 Diabetes Mellitus</w:t>
      </w:r>
    </w:p>
    <w:p w:rsidR="002F2C84" w:rsidRPr="002F2C84" w:rsidRDefault="002F2C84" w:rsidP="002F2C84">
      <w:pPr>
        <w:spacing w:after="0" w:line="480" w:lineRule="auto"/>
        <w:ind w:firstLine="720"/>
        <w:contextualSpacing/>
        <w:jc w:val="both"/>
        <w:rPr>
          <w:rFonts w:ascii="Times New Roman" w:eastAsia="Times New Roman" w:hAnsi="Times New Roman"/>
          <w:sz w:val="24"/>
          <w:szCs w:val="24"/>
        </w:rPr>
      </w:pPr>
      <w:r w:rsidRPr="002F2C84">
        <w:rPr>
          <w:rFonts w:ascii="Times New Roman" w:eastAsia="Times New Roman" w:hAnsi="Times New Roman"/>
          <w:sz w:val="24"/>
          <w:szCs w:val="24"/>
        </w:rPr>
        <w:t>Pathophysiology of the disease involves a detailed understanding of the nature of the disease and the processes that contribute to its occurrence</w:t>
      </w:r>
      <w:r w:rsidR="003505DE">
        <w:rPr>
          <w:rFonts w:ascii="Times New Roman" w:eastAsia="Times New Roman" w:hAnsi="Times New Roman"/>
          <w:sz w:val="24"/>
          <w:szCs w:val="24"/>
        </w:rPr>
        <w:t xml:space="preserve"> (</w:t>
      </w:r>
      <w:r w:rsidR="003505DE" w:rsidRPr="00862067">
        <w:rPr>
          <w:rFonts w:ascii="Times New Roman" w:hAnsi="Times New Roman"/>
          <w:sz w:val="24"/>
          <w:szCs w:val="24"/>
          <w:shd w:val="clear" w:color="auto" w:fill="FFFFFF"/>
        </w:rPr>
        <w:t>Skyler</w:t>
      </w:r>
      <w:r w:rsidR="003505DE">
        <w:rPr>
          <w:rFonts w:ascii="Times New Roman" w:hAnsi="Times New Roman"/>
          <w:sz w:val="24"/>
          <w:szCs w:val="24"/>
          <w:shd w:val="clear" w:color="auto" w:fill="FFFFFF"/>
        </w:rPr>
        <w:t xml:space="preserve"> et al., 2017</w:t>
      </w:r>
      <w:r w:rsidR="003505DE">
        <w:rPr>
          <w:rFonts w:ascii="Times New Roman" w:eastAsia="Times New Roman" w:hAnsi="Times New Roman"/>
          <w:sz w:val="24"/>
          <w:szCs w:val="24"/>
        </w:rPr>
        <w:t>)</w:t>
      </w:r>
      <w:r w:rsidRPr="002F2C84">
        <w:rPr>
          <w:rFonts w:ascii="Times New Roman" w:eastAsia="Times New Roman" w:hAnsi="Times New Roman"/>
          <w:sz w:val="24"/>
          <w:szCs w:val="24"/>
        </w:rPr>
        <w:t>. In this case, the pathophysiology of type 2 DM has continually developed over the last few years as professionals in medicine continue establishing new information on the condition. Based on current studies, type 2 DM occurs due to various factors that influence the functioning of the pancreas responsible for regulating blood glucose. According to Kesavadev et al. (2019), each cell in the body performs a specific function to ensure the normal functioning of the body; similarly, in type 2 DM, the specific cells responsible for the secretion of insulin fail. Specifically known as the β-cells, these cells fail to perform their functions as designed, and as a result, they influence the secretion of insulin by the pancreas. They may also cause the resistance of the body towards the hormone.</w:t>
      </w:r>
    </w:p>
    <w:p w:rsidR="002F2C84" w:rsidRPr="002F2C84" w:rsidRDefault="002F2C84" w:rsidP="002F2C84">
      <w:pPr>
        <w:spacing w:after="0" w:line="480" w:lineRule="auto"/>
        <w:ind w:firstLine="720"/>
        <w:contextualSpacing/>
        <w:jc w:val="both"/>
        <w:rPr>
          <w:rFonts w:ascii="Times New Roman" w:eastAsia="Times New Roman" w:hAnsi="Times New Roman"/>
          <w:sz w:val="24"/>
          <w:szCs w:val="24"/>
        </w:rPr>
      </w:pPr>
      <w:r w:rsidRPr="002F2C84">
        <w:rPr>
          <w:rFonts w:ascii="Times New Roman" w:eastAsia="Times New Roman" w:hAnsi="Times New Roman"/>
          <w:sz w:val="24"/>
          <w:szCs w:val="24"/>
        </w:rPr>
        <w:t>Moreover, in type 2 DM patients, insulin functioning is usually impaired to the extent that even though insulin is produced, it fails to be used for its specific function, resulting in insulin resistance. In some cases, it may lead to hyperglycemia (Skyler et al., 2017). The body's response to that reaction leads to more insulin production, leading to hyperinsulinism (Leslie et al., 2016). The resulting conditions influence the functioning of insulin, leading to the occurrence of the DM. Moreover, various treatments are implemented in the treatment of the condition. The most used evidence-based pharmacological treatment is therapeutic agents such as Thiazolidinediones, which is used in cases of insulin resistance, which is common in type 2 DM. This agent influences the condition by decreasing the composition of fatty acids in the blood.</w:t>
      </w:r>
    </w:p>
    <w:p w:rsidR="001F7726" w:rsidRDefault="002F2C84" w:rsidP="002F2C84">
      <w:pPr>
        <w:spacing w:after="0" w:line="480" w:lineRule="auto"/>
        <w:ind w:firstLine="720"/>
        <w:contextualSpacing/>
        <w:jc w:val="both"/>
        <w:rPr>
          <w:rFonts w:ascii="Times New Roman" w:eastAsia="Times New Roman" w:hAnsi="Times New Roman"/>
          <w:sz w:val="24"/>
          <w:szCs w:val="24"/>
        </w:rPr>
      </w:pPr>
      <w:r w:rsidRPr="002F2C84">
        <w:rPr>
          <w:rFonts w:ascii="Times New Roman" w:eastAsia="Times New Roman" w:hAnsi="Times New Roman"/>
          <w:sz w:val="24"/>
          <w:szCs w:val="24"/>
        </w:rPr>
        <w:t xml:space="preserve">Before the treatment of this condition, various steps are taken to establish the specificity of the condition since various types of DM exist. The American Diabetes Association (ADA) </w:t>
      </w:r>
      <w:r w:rsidRPr="002F2C84">
        <w:rPr>
          <w:rFonts w:ascii="Times New Roman" w:eastAsia="Times New Roman" w:hAnsi="Times New Roman"/>
          <w:sz w:val="24"/>
          <w:szCs w:val="24"/>
        </w:rPr>
        <w:lastRenderedPageBreak/>
        <w:t>guides the patients' assessment process in the case of diabetes(</w:t>
      </w:r>
      <w:r w:rsidR="003505DE" w:rsidRPr="002F2C84">
        <w:rPr>
          <w:rFonts w:ascii="Times New Roman" w:eastAsia="Times New Roman" w:hAnsi="Times New Roman"/>
          <w:sz w:val="24"/>
          <w:szCs w:val="24"/>
        </w:rPr>
        <w:t>Leslie et al., 2016</w:t>
      </w:r>
      <w:r w:rsidRPr="002F2C84">
        <w:rPr>
          <w:rFonts w:ascii="Times New Roman" w:eastAsia="Times New Roman" w:hAnsi="Times New Roman"/>
          <w:sz w:val="24"/>
          <w:szCs w:val="24"/>
        </w:rPr>
        <w:t>). Although most of the disease's patients are asymptomatic, the initial step involves an assessment to establish the condition of the patient involves the evaluation of the presence of the speculated signs and symptoms of type 2 DM. Some of the identified symptoms include yeast infections in men, the blurred vision, among others. After the evaluation is done, as guided by ADA, the diagnosis is conducted to establish the condition.</w:t>
      </w:r>
    </w:p>
    <w:p w:rsidR="002F2C84" w:rsidRPr="002F2C84" w:rsidRDefault="002F2C84" w:rsidP="002F2C84">
      <w:pPr>
        <w:suppressAutoHyphens w:val="0"/>
        <w:spacing w:after="0" w:line="480" w:lineRule="auto"/>
        <w:ind w:firstLine="720"/>
        <w:jc w:val="both"/>
        <w:rPr>
          <w:rFonts w:ascii="Times New Roman" w:eastAsia="Times New Roman" w:hAnsi="Times New Roman"/>
          <w:sz w:val="24"/>
          <w:szCs w:val="24"/>
        </w:rPr>
      </w:pPr>
      <w:r w:rsidRPr="002F2C84">
        <w:rPr>
          <w:rFonts w:ascii="Times New Roman" w:eastAsia="Times New Roman" w:hAnsi="Times New Roman"/>
          <w:sz w:val="24"/>
          <w:szCs w:val="24"/>
        </w:rPr>
        <w:t>The diagnostic process involves a series of tests recommended by ADA, including the establishment of glucose levels in the blood using various tests such as the oral glucose tolerance test to establish the plasma glucose levels. Moreover, after the diagnosis process has been carried out, various indications specify the patient has the condition. They include the possession of some of the risk factors of developing type 2 DM, such as obesity, and if the blood levels are greater than 135/80 mm Hg(</w:t>
      </w:r>
      <w:r w:rsidR="00873CCA" w:rsidRPr="00F3635F">
        <w:rPr>
          <w:rFonts w:ascii="Times New Roman" w:hAnsi="Times New Roman"/>
          <w:sz w:val="24"/>
          <w:szCs w:val="24"/>
          <w:shd w:val="clear" w:color="auto" w:fill="FFFFFF"/>
        </w:rPr>
        <w:t>Costa</w:t>
      </w:r>
      <w:r w:rsidR="00873CCA">
        <w:rPr>
          <w:rFonts w:ascii="Times New Roman" w:hAnsi="Times New Roman"/>
          <w:sz w:val="24"/>
          <w:szCs w:val="24"/>
          <w:shd w:val="clear" w:color="auto" w:fill="FFFFFF"/>
        </w:rPr>
        <w:t xml:space="preserve"> et al.</w:t>
      </w:r>
      <w:r w:rsidR="00873CCA" w:rsidRPr="00F3635F">
        <w:rPr>
          <w:rFonts w:ascii="Times New Roman" w:hAnsi="Times New Roman"/>
          <w:sz w:val="24"/>
          <w:szCs w:val="24"/>
          <w:shd w:val="clear" w:color="auto" w:fill="FFFFFF"/>
        </w:rPr>
        <w:t>,</w:t>
      </w:r>
      <w:r w:rsidR="00873CCA">
        <w:rPr>
          <w:rFonts w:ascii="Times New Roman" w:hAnsi="Times New Roman"/>
          <w:sz w:val="24"/>
          <w:szCs w:val="24"/>
          <w:shd w:val="clear" w:color="auto" w:fill="FFFFFF"/>
        </w:rPr>
        <w:t xml:space="preserve"> 2017</w:t>
      </w:r>
      <w:r w:rsidRPr="002F2C84">
        <w:rPr>
          <w:rFonts w:ascii="Times New Roman" w:eastAsia="Times New Roman" w:hAnsi="Times New Roman"/>
          <w:sz w:val="24"/>
          <w:szCs w:val="24"/>
        </w:rPr>
        <w:t>). Moreover, once an individual is identified to have the risk factors, they undergo screening as guided by ADA. After the condition is confirmed, the patient receives an engaging education session to be well informed on the treatment therapies applicable to their condition.</w:t>
      </w:r>
    </w:p>
    <w:p w:rsidR="002F2C84" w:rsidRPr="002F2C84" w:rsidRDefault="002F2C84" w:rsidP="002F2C84">
      <w:pPr>
        <w:suppressAutoHyphens w:val="0"/>
        <w:spacing w:after="0" w:line="480" w:lineRule="auto"/>
        <w:ind w:firstLine="720"/>
        <w:jc w:val="both"/>
        <w:rPr>
          <w:rFonts w:ascii="Times New Roman" w:eastAsia="Times New Roman" w:hAnsi="Times New Roman"/>
          <w:sz w:val="24"/>
          <w:szCs w:val="24"/>
        </w:rPr>
      </w:pPr>
      <w:r w:rsidRPr="002F2C84">
        <w:rPr>
          <w:rFonts w:ascii="Times New Roman" w:eastAsia="Times New Roman" w:hAnsi="Times New Roman"/>
          <w:sz w:val="24"/>
          <w:szCs w:val="24"/>
        </w:rPr>
        <w:t>Considered to be the most common among all other types of diabetes, DMT2 influences most of society, both the patients and their families. More so, since the treatment and management of type 2 DM involve using multiple therapies to ensure that the blood sugar remains stabilized. These therapies include the management of the patient's diet and the intake of various therapeutic agents. These therapies affect both the patient and the patient's family in various ways in society. For instance, the patient's diet's adjustments are accompanied by the need for finances to sustain the specific diet</w:t>
      </w:r>
      <w:r w:rsidR="003505DE">
        <w:rPr>
          <w:rFonts w:ascii="Times New Roman" w:eastAsia="Times New Roman" w:hAnsi="Times New Roman"/>
          <w:sz w:val="24"/>
          <w:szCs w:val="24"/>
        </w:rPr>
        <w:t xml:space="preserve"> (</w:t>
      </w:r>
      <w:r w:rsidR="003505DE" w:rsidRPr="00862067">
        <w:rPr>
          <w:rFonts w:ascii="Times New Roman" w:hAnsi="Times New Roman"/>
          <w:sz w:val="24"/>
          <w:szCs w:val="24"/>
          <w:shd w:val="clear" w:color="auto" w:fill="FFFFFF"/>
        </w:rPr>
        <w:t>Sami</w:t>
      </w:r>
      <w:r w:rsidR="003505DE">
        <w:rPr>
          <w:rFonts w:ascii="Times New Roman" w:hAnsi="Times New Roman"/>
          <w:sz w:val="24"/>
          <w:szCs w:val="24"/>
          <w:shd w:val="clear" w:color="auto" w:fill="FFFFFF"/>
        </w:rPr>
        <w:t xml:space="preserve"> et al.</w:t>
      </w:r>
      <w:r w:rsidR="003505DE" w:rsidRPr="00862067">
        <w:rPr>
          <w:rFonts w:ascii="Times New Roman" w:hAnsi="Times New Roman"/>
          <w:sz w:val="24"/>
          <w:szCs w:val="24"/>
          <w:shd w:val="clear" w:color="auto" w:fill="FFFFFF"/>
        </w:rPr>
        <w:t>,</w:t>
      </w:r>
      <w:r w:rsidR="003505DE">
        <w:rPr>
          <w:rFonts w:ascii="Times New Roman" w:hAnsi="Times New Roman"/>
          <w:sz w:val="24"/>
          <w:szCs w:val="24"/>
          <w:shd w:val="clear" w:color="auto" w:fill="FFFFFF"/>
        </w:rPr>
        <w:t xml:space="preserve"> 2017</w:t>
      </w:r>
      <w:r w:rsidR="003505DE">
        <w:rPr>
          <w:rFonts w:ascii="Times New Roman" w:eastAsia="Times New Roman" w:hAnsi="Times New Roman"/>
          <w:sz w:val="24"/>
          <w:szCs w:val="24"/>
        </w:rPr>
        <w:t>)</w:t>
      </w:r>
      <w:r w:rsidRPr="002F2C84">
        <w:rPr>
          <w:rFonts w:ascii="Times New Roman" w:eastAsia="Times New Roman" w:hAnsi="Times New Roman"/>
          <w:sz w:val="24"/>
          <w:szCs w:val="24"/>
        </w:rPr>
        <w:t xml:space="preserve">. However, since the treatment involves the integration of various therapies, it even becomes more expensive. Lastly, the </w:t>
      </w:r>
      <w:r w:rsidRPr="002F2C84">
        <w:rPr>
          <w:rFonts w:ascii="Times New Roman" w:eastAsia="Times New Roman" w:hAnsi="Times New Roman"/>
          <w:sz w:val="24"/>
          <w:szCs w:val="24"/>
        </w:rPr>
        <w:lastRenderedPageBreak/>
        <w:t xml:space="preserve">condition also requires monitoring strategies that involve regular doctor visits, which also requires finances. Therefore, financial influence is the initial impact that populations with the disease experience. </w:t>
      </w:r>
    </w:p>
    <w:p w:rsidR="002F2C84" w:rsidRPr="002F2C84" w:rsidRDefault="002F2C84" w:rsidP="002F2C84">
      <w:pPr>
        <w:suppressAutoHyphens w:val="0"/>
        <w:spacing w:after="0" w:line="480" w:lineRule="auto"/>
        <w:ind w:firstLine="720"/>
        <w:jc w:val="both"/>
        <w:rPr>
          <w:rFonts w:ascii="Times New Roman" w:eastAsia="Times New Roman" w:hAnsi="Times New Roman"/>
          <w:sz w:val="24"/>
          <w:szCs w:val="24"/>
        </w:rPr>
      </w:pPr>
      <w:r w:rsidRPr="002F2C84">
        <w:rPr>
          <w:rFonts w:ascii="Times New Roman" w:eastAsia="Times New Roman" w:hAnsi="Times New Roman"/>
          <w:sz w:val="24"/>
          <w:szCs w:val="24"/>
        </w:rPr>
        <w:t>Another major influence is regarding the change in their lifestyles</w:t>
      </w:r>
      <w:r w:rsidR="00F3635F">
        <w:rPr>
          <w:rFonts w:ascii="Times New Roman" w:eastAsia="Times New Roman" w:hAnsi="Times New Roman"/>
          <w:sz w:val="24"/>
          <w:szCs w:val="24"/>
        </w:rPr>
        <w:t xml:space="preserve"> (</w:t>
      </w:r>
      <w:r w:rsidR="00F3635F" w:rsidRPr="00F3635F">
        <w:rPr>
          <w:rFonts w:ascii="Times New Roman" w:hAnsi="Times New Roman"/>
          <w:sz w:val="24"/>
          <w:szCs w:val="24"/>
          <w:shd w:val="clear" w:color="auto" w:fill="FFFFFF"/>
        </w:rPr>
        <w:t>Costa</w:t>
      </w:r>
      <w:r w:rsidR="00F3635F">
        <w:rPr>
          <w:rFonts w:ascii="Times New Roman" w:hAnsi="Times New Roman"/>
          <w:sz w:val="24"/>
          <w:szCs w:val="24"/>
          <w:shd w:val="clear" w:color="auto" w:fill="FFFFFF"/>
        </w:rPr>
        <w:t xml:space="preserve"> et al., 2017</w:t>
      </w:r>
      <w:r w:rsidR="00F3635F">
        <w:rPr>
          <w:rFonts w:ascii="Times New Roman" w:eastAsia="Times New Roman" w:hAnsi="Times New Roman"/>
          <w:sz w:val="24"/>
          <w:szCs w:val="24"/>
        </w:rPr>
        <w:t>)</w:t>
      </w:r>
      <w:r w:rsidRPr="002F2C84">
        <w:rPr>
          <w:rFonts w:ascii="Times New Roman" w:eastAsia="Times New Roman" w:hAnsi="Times New Roman"/>
          <w:sz w:val="24"/>
          <w:szCs w:val="24"/>
        </w:rPr>
        <w:t>. In some cases, the patients undergo an education program to provide them with some of the major strategies to employ self-management of the condition. In this case, the patient's lifestyle changes incorporate the learned strategies, for instance, taking insulin injections for those whose insulin levels are low. For the families with children suffering from the condition, have their lifestyle changes since they engage in helping manage the condition for their children. Similarly, for those with elderly parents, they also partake in going through patient education to help manage the condition</w:t>
      </w:r>
      <w:r w:rsidR="00F3635F">
        <w:rPr>
          <w:rFonts w:ascii="Times New Roman" w:eastAsia="Times New Roman" w:hAnsi="Times New Roman"/>
          <w:sz w:val="24"/>
          <w:szCs w:val="24"/>
        </w:rPr>
        <w:t>(</w:t>
      </w:r>
      <w:r w:rsidR="00F3635F" w:rsidRPr="00F3635F">
        <w:rPr>
          <w:rFonts w:ascii="Times New Roman" w:hAnsi="Times New Roman"/>
          <w:sz w:val="24"/>
          <w:szCs w:val="24"/>
          <w:shd w:val="clear" w:color="auto" w:fill="FFFFFF"/>
        </w:rPr>
        <w:t>Costa</w:t>
      </w:r>
      <w:r w:rsidR="00F3635F">
        <w:rPr>
          <w:rFonts w:ascii="Times New Roman" w:hAnsi="Times New Roman"/>
          <w:sz w:val="24"/>
          <w:szCs w:val="24"/>
          <w:shd w:val="clear" w:color="auto" w:fill="FFFFFF"/>
        </w:rPr>
        <w:t xml:space="preserve"> et al., 2017</w:t>
      </w:r>
      <w:r w:rsidR="00F3635F">
        <w:rPr>
          <w:rFonts w:ascii="Times New Roman" w:eastAsia="Times New Roman" w:hAnsi="Times New Roman"/>
          <w:sz w:val="24"/>
          <w:szCs w:val="24"/>
        </w:rPr>
        <w:t>)</w:t>
      </w:r>
      <w:r w:rsidRPr="002F2C84">
        <w:rPr>
          <w:rFonts w:ascii="Times New Roman" w:eastAsia="Times New Roman" w:hAnsi="Times New Roman"/>
          <w:sz w:val="24"/>
          <w:szCs w:val="24"/>
        </w:rPr>
        <w:t>. Therefore, overall, throughout the disease process, various players take part, including the patients, their families, and all the population with patients in the community.</w:t>
      </w:r>
    </w:p>
    <w:p w:rsidR="002F2C84" w:rsidRPr="002F2C84" w:rsidRDefault="002F2C84" w:rsidP="002F2C84">
      <w:pPr>
        <w:suppressAutoHyphens w:val="0"/>
        <w:spacing w:after="0" w:line="480" w:lineRule="auto"/>
        <w:ind w:firstLine="720"/>
        <w:jc w:val="both"/>
        <w:rPr>
          <w:rFonts w:ascii="Times New Roman" w:eastAsia="Times New Roman" w:hAnsi="Times New Roman"/>
          <w:sz w:val="24"/>
          <w:szCs w:val="24"/>
        </w:rPr>
      </w:pPr>
      <w:r w:rsidRPr="002F2C84">
        <w:rPr>
          <w:rFonts w:ascii="Times New Roman" w:eastAsia="Times New Roman" w:hAnsi="Times New Roman"/>
          <w:sz w:val="24"/>
          <w:szCs w:val="24"/>
        </w:rPr>
        <w:t>As indicated earlier, the management and treatment of type 2 DM incorporate a series of therapies to improve the condition. Therefore, in this case, three strategies can be implemented to manage the condition. The initial strategy is the adjustment of the patient's diet</w:t>
      </w:r>
      <w:r w:rsidR="00F3635F">
        <w:rPr>
          <w:rFonts w:ascii="Times New Roman" w:eastAsia="Times New Roman" w:hAnsi="Times New Roman"/>
          <w:sz w:val="24"/>
          <w:szCs w:val="24"/>
        </w:rPr>
        <w:t xml:space="preserve"> (</w:t>
      </w:r>
      <w:r w:rsidR="00F3635F" w:rsidRPr="007E0295">
        <w:rPr>
          <w:rFonts w:ascii="Times New Roman" w:hAnsi="Times New Roman"/>
          <w:sz w:val="24"/>
          <w:szCs w:val="24"/>
          <w:shd w:val="clear" w:color="auto" w:fill="FFFFFF"/>
        </w:rPr>
        <w:t>Aschner</w:t>
      </w:r>
      <w:r w:rsidR="00F3635F">
        <w:rPr>
          <w:rFonts w:ascii="Times New Roman" w:hAnsi="Times New Roman"/>
          <w:sz w:val="24"/>
          <w:szCs w:val="24"/>
          <w:shd w:val="clear" w:color="auto" w:fill="FFFFFF"/>
        </w:rPr>
        <w:t xml:space="preserve"> et al., 2016</w:t>
      </w:r>
      <w:r w:rsidR="00F3635F">
        <w:rPr>
          <w:rFonts w:ascii="Times New Roman" w:eastAsia="Times New Roman" w:hAnsi="Times New Roman"/>
          <w:sz w:val="24"/>
          <w:szCs w:val="24"/>
        </w:rPr>
        <w:t>)</w:t>
      </w:r>
      <w:r w:rsidRPr="002F2C84">
        <w:rPr>
          <w:rFonts w:ascii="Times New Roman" w:eastAsia="Times New Roman" w:hAnsi="Times New Roman"/>
          <w:sz w:val="24"/>
          <w:szCs w:val="24"/>
        </w:rPr>
        <w:t>. This is essential since overweight is one of the risk factors in this condition; therefore, to prevent further complications, the patient's dietary needs should be addressed. Consequently, this strategy involves the adjustment of the different quantities of types of food consumed to ensure that the diet is balanced. Specifically, the diet should include reduced consumption of fats and an increase in the consumption of fiber.</w:t>
      </w:r>
    </w:p>
    <w:p w:rsidR="007144C0" w:rsidRDefault="002F2C84" w:rsidP="002F2C84">
      <w:pPr>
        <w:suppressAutoHyphens w:val="0"/>
        <w:spacing w:after="0" w:line="480" w:lineRule="auto"/>
        <w:ind w:firstLine="720"/>
        <w:jc w:val="both"/>
        <w:rPr>
          <w:rFonts w:ascii="Times New Roman" w:eastAsia="Times New Roman" w:hAnsi="Times New Roman"/>
          <w:sz w:val="24"/>
          <w:szCs w:val="24"/>
        </w:rPr>
      </w:pPr>
      <w:r w:rsidRPr="002F2C84">
        <w:rPr>
          <w:rFonts w:ascii="Times New Roman" w:eastAsia="Times New Roman" w:hAnsi="Times New Roman"/>
          <w:sz w:val="24"/>
          <w:szCs w:val="24"/>
        </w:rPr>
        <w:t xml:space="preserve">The second strategy that could be implemented is pharmacotherapy, which includes the use of agents to help control the patients' sugar levels. The implementation of this therapy is </w:t>
      </w:r>
      <w:r w:rsidRPr="002F2C84">
        <w:rPr>
          <w:rFonts w:ascii="Times New Roman" w:eastAsia="Times New Roman" w:hAnsi="Times New Roman"/>
          <w:sz w:val="24"/>
          <w:szCs w:val="24"/>
        </w:rPr>
        <w:lastRenderedPageBreak/>
        <w:t>entirely dependent on the patient's condition and associated factors. Some of these agents include the use of Sulfonylureas and Biguanides (Sami et al., 2017). Lastly, physical activity is another strategy that could be implemented, which involves body exercises to break down the fatty acids in the blood to absorbable glucose. As a result, it aids in increasing the body's sensitivity to insulin and prevent the occurrence of hyperinsulinism. The named strategies, once implemented, could help manage the condition effectively.</w:t>
      </w:r>
    </w:p>
    <w:p w:rsidR="00F2391A" w:rsidRPr="00FD0EA7" w:rsidRDefault="00FD0EA7" w:rsidP="00D40038">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1319E4" w:rsidRPr="00F3635F" w:rsidRDefault="004229D0" w:rsidP="00D603E0">
      <w:pPr>
        <w:spacing w:after="0" w:line="480" w:lineRule="auto"/>
        <w:ind w:left="720" w:hanging="720"/>
        <w:contextualSpacing/>
        <w:jc w:val="both"/>
        <w:rPr>
          <w:rFonts w:ascii="Times New Roman" w:hAnsi="Times New Roman"/>
          <w:sz w:val="24"/>
          <w:szCs w:val="24"/>
          <w:shd w:val="clear" w:color="auto" w:fill="FFFFFF"/>
        </w:rPr>
      </w:pPr>
      <w:r w:rsidRPr="007E0295">
        <w:rPr>
          <w:rFonts w:ascii="Times New Roman" w:hAnsi="Times New Roman"/>
          <w:sz w:val="24"/>
          <w:szCs w:val="24"/>
          <w:shd w:val="clear" w:color="auto" w:fill="FFFFFF"/>
        </w:rPr>
        <w:t>Aschner M, P., Muñoz V, O. M., Girón, D., García, O. M., Fernández-Ávila, D., Casas, L. Á., ... &amp; Sarmiento, J. G. (2016). Clinical practice guideline for the prevention, early detection, diagnosis, management and follow up of type 2 diabetes mellitus in adults. </w:t>
      </w:r>
      <w:r w:rsidRPr="007E0295">
        <w:rPr>
          <w:rFonts w:ascii="Times New Roman" w:hAnsi="Times New Roman"/>
          <w:i/>
          <w:iCs/>
          <w:sz w:val="24"/>
          <w:szCs w:val="24"/>
          <w:shd w:val="clear" w:color="auto" w:fill="FFFFFF"/>
        </w:rPr>
        <w:t>Colombia Médica</w:t>
      </w:r>
      <w:r w:rsidRPr="007E0295">
        <w:rPr>
          <w:rFonts w:ascii="Times New Roman" w:hAnsi="Times New Roman"/>
          <w:sz w:val="24"/>
          <w:szCs w:val="24"/>
          <w:shd w:val="clear" w:color="auto" w:fill="FFFFFF"/>
        </w:rPr>
        <w:t>, </w:t>
      </w:r>
      <w:r w:rsidRPr="007E0295">
        <w:rPr>
          <w:rFonts w:ascii="Times New Roman" w:hAnsi="Times New Roman"/>
          <w:i/>
          <w:iCs/>
          <w:sz w:val="24"/>
          <w:szCs w:val="24"/>
          <w:shd w:val="clear" w:color="auto" w:fill="FFFFFF"/>
        </w:rPr>
        <w:t>47</w:t>
      </w:r>
      <w:r w:rsidRPr="007E0295">
        <w:rPr>
          <w:rFonts w:ascii="Times New Roman" w:hAnsi="Times New Roman"/>
          <w:sz w:val="24"/>
          <w:szCs w:val="24"/>
          <w:shd w:val="clear" w:color="auto" w:fill="FFFFFF"/>
        </w:rPr>
        <w:t>(2), 109-130.</w:t>
      </w:r>
    </w:p>
    <w:p w:rsidR="00F3635F" w:rsidRPr="00F3635F" w:rsidRDefault="00F3635F" w:rsidP="00D603E0">
      <w:pPr>
        <w:spacing w:after="0" w:line="480" w:lineRule="auto"/>
        <w:ind w:left="720" w:hanging="720"/>
        <w:contextualSpacing/>
        <w:jc w:val="both"/>
        <w:rPr>
          <w:rFonts w:ascii="Times New Roman" w:hAnsi="Times New Roman"/>
          <w:sz w:val="24"/>
          <w:szCs w:val="24"/>
          <w:shd w:val="clear" w:color="auto" w:fill="FFFFFF"/>
        </w:rPr>
      </w:pPr>
      <w:r w:rsidRPr="00F3635F">
        <w:rPr>
          <w:rFonts w:ascii="Times New Roman" w:hAnsi="Times New Roman"/>
          <w:sz w:val="24"/>
          <w:szCs w:val="24"/>
          <w:shd w:val="clear" w:color="auto" w:fill="FFFFFF"/>
        </w:rPr>
        <w:t>Costa, K. L., Taboza, Z. A., Angelino, G. B., Silveira, V. R., Montenegro Jr, R., Haas, A. N., &amp; Rego, R. O. (2017). Influence of periodontal disease on changes of glycated hemoglobin levels in patients with type 2 diabetes mellitus: a retrospective cohort study. </w:t>
      </w:r>
      <w:r w:rsidRPr="00F3635F">
        <w:rPr>
          <w:rFonts w:ascii="Times New Roman" w:hAnsi="Times New Roman"/>
          <w:i/>
          <w:iCs/>
          <w:sz w:val="24"/>
          <w:szCs w:val="24"/>
          <w:shd w:val="clear" w:color="auto" w:fill="FFFFFF"/>
        </w:rPr>
        <w:t>Journal of periodontology</w:t>
      </w:r>
      <w:r w:rsidRPr="00F3635F">
        <w:rPr>
          <w:rFonts w:ascii="Times New Roman" w:hAnsi="Times New Roman"/>
          <w:sz w:val="24"/>
          <w:szCs w:val="24"/>
          <w:shd w:val="clear" w:color="auto" w:fill="FFFFFF"/>
        </w:rPr>
        <w:t>, </w:t>
      </w:r>
      <w:r w:rsidRPr="00F3635F">
        <w:rPr>
          <w:rFonts w:ascii="Times New Roman" w:hAnsi="Times New Roman"/>
          <w:i/>
          <w:iCs/>
          <w:sz w:val="24"/>
          <w:szCs w:val="24"/>
          <w:shd w:val="clear" w:color="auto" w:fill="FFFFFF"/>
        </w:rPr>
        <w:t>88</w:t>
      </w:r>
      <w:r w:rsidRPr="00F3635F">
        <w:rPr>
          <w:rFonts w:ascii="Times New Roman" w:hAnsi="Times New Roman"/>
          <w:sz w:val="24"/>
          <w:szCs w:val="24"/>
          <w:shd w:val="clear" w:color="auto" w:fill="FFFFFF"/>
        </w:rPr>
        <w:t>(1), 17-25.</w:t>
      </w:r>
    </w:p>
    <w:p w:rsidR="007E0295" w:rsidRPr="00862067" w:rsidRDefault="007E0295" w:rsidP="007E0295">
      <w:pPr>
        <w:spacing w:after="0" w:line="480" w:lineRule="auto"/>
        <w:ind w:left="720" w:hanging="720"/>
        <w:contextualSpacing/>
        <w:jc w:val="both"/>
        <w:rPr>
          <w:rFonts w:ascii="Times New Roman" w:hAnsi="Times New Roman"/>
          <w:sz w:val="24"/>
          <w:szCs w:val="24"/>
          <w:shd w:val="clear" w:color="auto" w:fill="FFFFFF"/>
        </w:rPr>
      </w:pPr>
      <w:r w:rsidRPr="00862067">
        <w:rPr>
          <w:rFonts w:ascii="Times New Roman" w:hAnsi="Times New Roman"/>
          <w:sz w:val="24"/>
          <w:szCs w:val="24"/>
          <w:shd w:val="clear" w:color="auto" w:fill="FFFFFF"/>
        </w:rPr>
        <w:t>Kesavadev, J., Jawad, F., Deeb, A., Coetzee, A., Ansari, M. J., Shrestha, D., ... &amp; Kalra, S. (2019). Pathophysiology of Type 2 Diabetes. In </w:t>
      </w:r>
      <w:r w:rsidRPr="00862067">
        <w:rPr>
          <w:rFonts w:ascii="Times New Roman" w:hAnsi="Times New Roman"/>
          <w:i/>
          <w:iCs/>
          <w:sz w:val="24"/>
          <w:szCs w:val="24"/>
          <w:shd w:val="clear" w:color="auto" w:fill="FFFFFF"/>
        </w:rPr>
        <w:t>The Diabetes Textbook</w:t>
      </w:r>
      <w:r w:rsidRPr="00862067">
        <w:rPr>
          <w:rFonts w:ascii="Times New Roman" w:hAnsi="Times New Roman"/>
          <w:sz w:val="24"/>
          <w:szCs w:val="24"/>
          <w:shd w:val="clear" w:color="auto" w:fill="FFFFFF"/>
        </w:rPr>
        <w:t> (pp. 101-116). Springer, Cham.</w:t>
      </w:r>
    </w:p>
    <w:p w:rsidR="004229D0" w:rsidRDefault="007E0295" w:rsidP="007E0295">
      <w:pPr>
        <w:spacing w:after="0" w:line="480" w:lineRule="auto"/>
        <w:ind w:left="720" w:hanging="720"/>
        <w:contextualSpacing/>
        <w:jc w:val="both"/>
        <w:rPr>
          <w:rFonts w:ascii="Times New Roman" w:hAnsi="Times New Roman"/>
          <w:sz w:val="24"/>
          <w:szCs w:val="24"/>
          <w:shd w:val="clear" w:color="auto" w:fill="FFFFFF"/>
        </w:rPr>
      </w:pPr>
      <w:r w:rsidRPr="00862067">
        <w:rPr>
          <w:rFonts w:ascii="Times New Roman" w:hAnsi="Times New Roman"/>
          <w:sz w:val="24"/>
          <w:szCs w:val="24"/>
          <w:shd w:val="clear" w:color="auto" w:fill="FFFFFF"/>
        </w:rPr>
        <w:t>Leslie, R. D., Palmer, J., Schloot, N. C., &amp; Lernmark, A. (2016). Diabetes at the crossroads: relevance of disease classification to pathophysiology and treatment. </w:t>
      </w:r>
      <w:r w:rsidRPr="00862067">
        <w:rPr>
          <w:rFonts w:ascii="Times New Roman" w:hAnsi="Times New Roman"/>
          <w:i/>
          <w:iCs/>
          <w:sz w:val="24"/>
          <w:szCs w:val="24"/>
          <w:shd w:val="clear" w:color="auto" w:fill="FFFFFF"/>
        </w:rPr>
        <w:t>Diabetologia</w:t>
      </w:r>
      <w:r w:rsidRPr="00862067">
        <w:rPr>
          <w:rFonts w:ascii="Times New Roman" w:hAnsi="Times New Roman"/>
          <w:sz w:val="24"/>
          <w:szCs w:val="24"/>
          <w:shd w:val="clear" w:color="auto" w:fill="FFFFFF"/>
        </w:rPr>
        <w:t>, </w:t>
      </w:r>
      <w:r w:rsidRPr="00862067">
        <w:rPr>
          <w:rFonts w:ascii="Times New Roman" w:hAnsi="Times New Roman"/>
          <w:i/>
          <w:iCs/>
          <w:sz w:val="24"/>
          <w:szCs w:val="24"/>
          <w:shd w:val="clear" w:color="auto" w:fill="FFFFFF"/>
        </w:rPr>
        <w:t>59</w:t>
      </w:r>
      <w:r w:rsidRPr="00862067">
        <w:rPr>
          <w:rFonts w:ascii="Times New Roman" w:hAnsi="Times New Roman"/>
          <w:sz w:val="24"/>
          <w:szCs w:val="24"/>
          <w:shd w:val="clear" w:color="auto" w:fill="FFFFFF"/>
        </w:rPr>
        <w:t>(1), 13-20.</w:t>
      </w:r>
    </w:p>
    <w:p w:rsidR="00C739FE" w:rsidRDefault="00C739FE" w:rsidP="007E0295">
      <w:pPr>
        <w:spacing w:after="0" w:line="480" w:lineRule="auto"/>
        <w:ind w:left="720" w:hanging="720"/>
        <w:contextualSpacing/>
        <w:jc w:val="both"/>
        <w:rPr>
          <w:rFonts w:ascii="Times New Roman" w:hAnsi="Times New Roman"/>
          <w:sz w:val="24"/>
          <w:szCs w:val="24"/>
          <w:shd w:val="clear" w:color="auto" w:fill="FFFFFF"/>
        </w:rPr>
      </w:pPr>
      <w:r w:rsidRPr="00862067">
        <w:rPr>
          <w:rFonts w:ascii="Times New Roman" w:hAnsi="Times New Roman"/>
          <w:sz w:val="24"/>
          <w:szCs w:val="24"/>
          <w:shd w:val="clear" w:color="auto" w:fill="FFFFFF"/>
        </w:rPr>
        <w:t>Sami, W., Ansari, T., Butt, N. S., &amp; Ab Hamid, M. R. (2017). Effect of diet on type 2 diabetes mellitus: A review. </w:t>
      </w:r>
      <w:r w:rsidRPr="00862067">
        <w:rPr>
          <w:rFonts w:ascii="Times New Roman" w:hAnsi="Times New Roman"/>
          <w:i/>
          <w:iCs/>
          <w:sz w:val="24"/>
          <w:szCs w:val="24"/>
          <w:shd w:val="clear" w:color="auto" w:fill="FFFFFF"/>
        </w:rPr>
        <w:t>International journal of health sciences</w:t>
      </w:r>
      <w:r w:rsidRPr="00862067">
        <w:rPr>
          <w:rFonts w:ascii="Times New Roman" w:hAnsi="Times New Roman"/>
          <w:sz w:val="24"/>
          <w:szCs w:val="24"/>
          <w:shd w:val="clear" w:color="auto" w:fill="FFFFFF"/>
        </w:rPr>
        <w:t>, </w:t>
      </w:r>
      <w:r w:rsidRPr="00862067">
        <w:rPr>
          <w:rFonts w:ascii="Times New Roman" w:hAnsi="Times New Roman"/>
          <w:i/>
          <w:iCs/>
          <w:sz w:val="24"/>
          <w:szCs w:val="24"/>
          <w:shd w:val="clear" w:color="auto" w:fill="FFFFFF"/>
        </w:rPr>
        <w:t>11</w:t>
      </w:r>
      <w:r w:rsidRPr="00862067">
        <w:rPr>
          <w:rFonts w:ascii="Times New Roman" w:hAnsi="Times New Roman"/>
          <w:sz w:val="24"/>
          <w:szCs w:val="24"/>
          <w:shd w:val="clear" w:color="auto" w:fill="FFFFFF"/>
        </w:rPr>
        <w:t>(2), 65.</w:t>
      </w:r>
    </w:p>
    <w:p w:rsidR="007E0295" w:rsidRPr="001319E4" w:rsidRDefault="007E0295" w:rsidP="007E0295">
      <w:pPr>
        <w:spacing w:after="0" w:line="480" w:lineRule="auto"/>
        <w:ind w:left="720" w:hanging="720"/>
        <w:contextualSpacing/>
        <w:jc w:val="both"/>
        <w:rPr>
          <w:rFonts w:ascii="Times New Roman" w:hAnsi="Times New Roman"/>
          <w:sz w:val="24"/>
          <w:szCs w:val="24"/>
          <w:shd w:val="clear" w:color="auto" w:fill="FFFFFF"/>
        </w:rPr>
      </w:pPr>
      <w:r w:rsidRPr="00862067">
        <w:rPr>
          <w:rFonts w:ascii="Times New Roman" w:hAnsi="Times New Roman"/>
          <w:sz w:val="24"/>
          <w:szCs w:val="24"/>
          <w:shd w:val="clear" w:color="auto" w:fill="FFFFFF"/>
        </w:rPr>
        <w:t>Skyler, J. S., Bakris, G. L., Bonifacio, E., Darsow, T., Eckel, R. H., Groop, L., ... &amp; McElvaine, A. T. (2017). Differentiation of diabetes by pathophysiology, natural history, and prognosis. </w:t>
      </w:r>
      <w:r w:rsidRPr="00862067">
        <w:rPr>
          <w:rFonts w:ascii="Times New Roman" w:hAnsi="Times New Roman"/>
          <w:i/>
          <w:iCs/>
          <w:sz w:val="24"/>
          <w:szCs w:val="24"/>
          <w:shd w:val="clear" w:color="auto" w:fill="FFFFFF"/>
        </w:rPr>
        <w:t>Diabetes</w:t>
      </w:r>
      <w:r w:rsidRPr="00862067">
        <w:rPr>
          <w:rFonts w:ascii="Times New Roman" w:hAnsi="Times New Roman"/>
          <w:sz w:val="24"/>
          <w:szCs w:val="24"/>
          <w:shd w:val="clear" w:color="auto" w:fill="FFFFFF"/>
        </w:rPr>
        <w:t>, </w:t>
      </w:r>
      <w:r w:rsidRPr="00862067">
        <w:rPr>
          <w:rFonts w:ascii="Times New Roman" w:hAnsi="Times New Roman"/>
          <w:i/>
          <w:iCs/>
          <w:sz w:val="24"/>
          <w:szCs w:val="24"/>
          <w:shd w:val="clear" w:color="auto" w:fill="FFFFFF"/>
        </w:rPr>
        <w:t>66</w:t>
      </w:r>
      <w:r w:rsidRPr="00862067">
        <w:rPr>
          <w:rFonts w:ascii="Times New Roman" w:hAnsi="Times New Roman"/>
          <w:sz w:val="24"/>
          <w:szCs w:val="24"/>
          <w:shd w:val="clear" w:color="auto" w:fill="FFFFFF"/>
        </w:rPr>
        <w:t>(2), 241-255.</w:t>
      </w:r>
    </w:p>
    <w:sectPr w:rsidR="007E0295" w:rsidRPr="001319E4" w:rsidSect="00057D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4760" w:rsidRDefault="00214760">
      <w:r>
        <w:separator/>
      </w:r>
    </w:p>
  </w:endnote>
  <w:endnote w:type="continuationSeparator" w:id="1">
    <w:p w:rsidR="00214760" w:rsidRDefault="002147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4760" w:rsidRDefault="00214760">
      <w:r>
        <w:separator/>
      </w:r>
    </w:p>
  </w:footnote>
  <w:footnote w:type="continuationSeparator" w:id="1">
    <w:p w:rsidR="00214760" w:rsidRDefault="002147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ED05BF">
    <w:pPr>
      <w:spacing w:after="0" w:line="480" w:lineRule="auto"/>
      <w:contextualSpacing/>
      <w:rPr>
        <w:rFonts w:ascii="Times New Roman" w:hAnsi="Times New Roman"/>
      </w:rPr>
    </w:pPr>
    <w:r>
      <w:rPr>
        <w:rFonts w:ascii="Times New Roman" w:hAnsi="Times New Roman"/>
        <w:sz w:val="24"/>
      </w:rPr>
      <w:t>TYPE 2 DIABETES MELLITUS</w:t>
    </w:r>
    <w:r w:rsidR="00D352AB">
      <w:rPr>
        <w:rFonts w:ascii="Times New Roman" w:hAnsi="Times New Roman"/>
        <w:sz w:val="24"/>
      </w:rPr>
      <w:t xml:space="preserve">                                                                                               </w:t>
    </w:r>
    <w:r w:rsidR="00BA380B"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BA380B" w:rsidRPr="00A40055">
      <w:rPr>
        <w:rFonts w:ascii="Times New Roman" w:hAnsi="Times New Roman"/>
        <w:sz w:val="24"/>
        <w:szCs w:val="24"/>
      </w:rPr>
      <w:fldChar w:fldCharType="separate"/>
    </w:r>
    <w:r w:rsidR="006776C4">
      <w:rPr>
        <w:rFonts w:ascii="Times New Roman" w:hAnsi="Times New Roman"/>
        <w:noProof/>
        <w:sz w:val="24"/>
        <w:szCs w:val="24"/>
      </w:rPr>
      <w:t>6</w:t>
    </w:r>
    <w:r w:rsidR="00BA380B"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D352AB">
      <w:rPr>
        <w:rFonts w:ascii="Times New Roman" w:hAnsi="Times New Roman"/>
        <w:sz w:val="24"/>
      </w:rPr>
      <w:t xml:space="preserve">  </w:t>
    </w:r>
    <w:r w:rsidR="00ED05BF">
      <w:rPr>
        <w:rFonts w:ascii="Times New Roman" w:hAnsi="Times New Roman"/>
        <w:sz w:val="24"/>
      </w:rPr>
      <w:t xml:space="preserve">TYPE 2 DIABETES MELLITUS    </w:t>
    </w:r>
    <w:r w:rsidR="00D352AB">
      <w:rPr>
        <w:rFonts w:ascii="Times New Roman" w:hAnsi="Times New Roman"/>
        <w:sz w:val="24"/>
      </w:rPr>
      <w:t xml:space="preserve">                                                                   </w:t>
    </w:r>
    <w:r w:rsidR="00ED05BF">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0D0E"/>
    <w:rsid w:val="000132E3"/>
    <w:rsid w:val="000135E9"/>
    <w:rsid w:val="00013DD9"/>
    <w:rsid w:val="00026B04"/>
    <w:rsid w:val="00044B2D"/>
    <w:rsid w:val="000465F4"/>
    <w:rsid w:val="00050361"/>
    <w:rsid w:val="00057D06"/>
    <w:rsid w:val="000751B3"/>
    <w:rsid w:val="00080FCD"/>
    <w:rsid w:val="00087B62"/>
    <w:rsid w:val="000A5777"/>
    <w:rsid w:val="000C5BB3"/>
    <w:rsid w:val="000F2717"/>
    <w:rsid w:val="000F5A80"/>
    <w:rsid w:val="00107E33"/>
    <w:rsid w:val="00107F64"/>
    <w:rsid w:val="00113FFC"/>
    <w:rsid w:val="0013043C"/>
    <w:rsid w:val="00130868"/>
    <w:rsid w:val="001319E4"/>
    <w:rsid w:val="001430B9"/>
    <w:rsid w:val="0015018F"/>
    <w:rsid w:val="00150263"/>
    <w:rsid w:val="00150877"/>
    <w:rsid w:val="001508A2"/>
    <w:rsid w:val="00154E03"/>
    <w:rsid w:val="00181A14"/>
    <w:rsid w:val="00182935"/>
    <w:rsid w:val="00185105"/>
    <w:rsid w:val="00192FCB"/>
    <w:rsid w:val="001A3DC2"/>
    <w:rsid w:val="001C2A02"/>
    <w:rsid w:val="001D149A"/>
    <w:rsid w:val="001F7726"/>
    <w:rsid w:val="001F7D17"/>
    <w:rsid w:val="00214760"/>
    <w:rsid w:val="00223D21"/>
    <w:rsid w:val="0022566F"/>
    <w:rsid w:val="00291EE0"/>
    <w:rsid w:val="002A187A"/>
    <w:rsid w:val="002C3AB3"/>
    <w:rsid w:val="002D4C10"/>
    <w:rsid w:val="002E7DC7"/>
    <w:rsid w:val="002F2C84"/>
    <w:rsid w:val="003073D4"/>
    <w:rsid w:val="003079AC"/>
    <w:rsid w:val="003154AA"/>
    <w:rsid w:val="00337292"/>
    <w:rsid w:val="003505DE"/>
    <w:rsid w:val="003A53C8"/>
    <w:rsid w:val="003A6485"/>
    <w:rsid w:val="003B3C46"/>
    <w:rsid w:val="003C06B4"/>
    <w:rsid w:val="003C3673"/>
    <w:rsid w:val="003D6FDA"/>
    <w:rsid w:val="003E33A1"/>
    <w:rsid w:val="003E3F61"/>
    <w:rsid w:val="003E7CB9"/>
    <w:rsid w:val="004156D4"/>
    <w:rsid w:val="004229D0"/>
    <w:rsid w:val="00434212"/>
    <w:rsid w:val="004447C1"/>
    <w:rsid w:val="00470CCD"/>
    <w:rsid w:val="00475DDA"/>
    <w:rsid w:val="004B167A"/>
    <w:rsid w:val="004C294C"/>
    <w:rsid w:val="004D1C80"/>
    <w:rsid w:val="004E530C"/>
    <w:rsid w:val="005226B5"/>
    <w:rsid w:val="0052453D"/>
    <w:rsid w:val="005421E9"/>
    <w:rsid w:val="00543D74"/>
    <w:rsid w:val="00543FF8"/>
    <w:rsid w:val="00550262"/>
    <w:rsid w:val="00563EA3"/>
    <w:rsid w:val="005737A3"/>
    <w:rsid w:val="00593461"/>
    <w:rsid w:val="005C6640"/>
    <w:rsid w:val="005F690D"/>
    <w:rsid w:val="00624D78"/>
    <w:rsid w:val="00663437"/>
    <w:rsid w:val="006717A9"/>
    <w:rsid w:val="00674D0D"/>
    <w:rsid w:val="006776C4"/>
    <w:rsid w:val="006825EE"/>
    <w:rsid w:val="006A0524"/>
    <w:rsid w:val="006C23C0"/>
    <w:rsid w:val="006D14B4"/>
    <w:rsid w:val="006D213D"/>
    <w:rsid w:val="00705524"/>
    <w:rsid w:val="007144C0"/>
    <w:rsid w:val="00721113"/>
    <w:rsid w:val="0072703F"/>
    <w:rsid w:val="00792AA3"/>
    <w:rsid w:val="007B2C2F"/>
    <w:rsid w:val="007B3261"/>
    <w:rsid w:val="007B3937"/>
    <w:rsid w:val="007B4C20"/>
    <w:rsid w:val="007B4DB9"/>
    <w:rsid w:val="007B5318"/>
    <w:rsid w:val="007E0295"/>
    <w:rsid w:val="007F0CCE"/>
    <w:rsid w:val="007F7D30"/>
    <w:rsid w:val="00801CF4"/>
    <w:rsid w:val="00802E45"/>
    <w:rsid w:val="00807470"/>
    <w:rsid w:val="008163FE"/>
    <w:rsid w:val="00816745"/>
    <w:rsid w:val="0082544D"/>
    <w:rsid w:val="0085790F"/>
    <w:rsid w:val="00873CCA"/>
    <w:rsid w:val="00877DD5"/>
    <w:rsid w:val="008958BF"/>
    <w:rsid w:val="008A2A7D"/>
    <w:rsid w:val="008B199B"/>
    <w:rsid w:val="008C064D"/>
    <w:rsid w:val="008C4356"/>
    <w:rsid w:val="008C52FE"/>
    <w:rsid w:val="008D2B08"/>
    <w:rsid w:val="008E1289"/>
    <w:rsid w:val="00902F61"/>
    <w:rsid w:val="00903BF8"/>
    <w:rsid w:val="00905988"/>
    <w:rsid w:val="00932206"/>
    <w:rsid w:val="0093408A"/>
    <w:rsid w:val="00934649"/>
    <w:rsid w:val="00940859"/>
    <w:rsid w:val="00961A71"/>
    <w:rsid w:val="00962382"/>
    <w:rsid w:val="009626E1"/>
    <w:rsid w:val="0096275F"/>
    <w:rsid w:val="00980E27"/>
    <w:rsid w:val="009829DF"/>
    <w:rsid w:val="009863AA"/>
    <w:rsid w:val="009C26FA"/>
    <w:rsid w:val="009C73F2"/>
    <w:rsid w:val="009E2725"/>
    <w:rsid w:val="009F1153"/>
    <w:rsid w:val="00A016F0"/>
    <w:rsid w:val="00A40055"/>
    <w:rsid w:val="00A6089C"/>
    <w:rsid w:val="00A6594B"/>
    <w:rsid w:val="00A82C60"/>
    <w:rsid w:val="00A9147B"/>
    <w:rsid w:val="00A943A6"/>
    <w:rsid w:val="00A96E99"/>
    <w:rsid w:val="00AB179B"/>
    <w:rsid w:val="00AB2896"/>
    <w:rsid w:val="00AB367A"/>
    <w:rsid w:val="00AD40C5"/>
    <w:rsid w:val="00AE2342"/>
    <w:rsid w:val="00AE27F1"/>
    <w:rsid w:val="00AE291F"/>
    <w:rsid w:val="00AF7194"/>
    <w:rsid w:val="00B05D37"/>
    <w:rsid w:val="00B17BD2"/>
    <w:rsid w:val="00B40DBF"/>
    <w:rsid w:val="00B71060"/>
    <w:rsid w:val="00B71F37"/>
    <w:rsid w:val="00B81460"/>
    <w:rsid w:val="00B877A6"/>
    <w:rsid w:val="00BA3287"/>
    <w:rsid w:val="00BA380B"/>
    <w:rsid w:val="00BB541B"/>
    <w:rsid w:val="00BD1147"/>
    <w:rsid w:val="00BF2FCF"/>
    <w:rsid w:val="00C0591E"/>
    <w:rsid w:val="00C1648A"/>
    <w:rsid w:val="00C16ECA"/>
    <w:rsid w:val="00C414E2"/>
    <w:rsid w:val="00C46565"/>
    <w:rsid w:val="00C46F10"/>
    <w:rsid w:val="00C52312"/>
    <w:rsid w:val="00C7314B"/>
    <w:rsid w:val="00C739FE"/>
    <w:rsid w:val="00C76361"/>
    <w:rsid w:val="00C8604C"/>
    <w:rsid w:val="00C975C1"/>
    <w:rsid w:val="00CA5D31"/>
    <w:rsid w:val="00CB2D7E"/>
    <w:rsid w:val="00CC653C"/>
    <w:rsid w:val="00CC6B21"/>
    <w:rsid w:val="00CD141C"/>
    <w:rsid w:val="00D3035F"/>
    <w:rsid w:val="00D352AB"/>
    <w:rsid w:val="00D40038"/>
    <w:rsid w:val="00D603E0"/>
    <w:rsid w:val="00D63983"/>
    <w:rsid w:val="00D639C8"/>
    <w:rsid w:val="00D72780"/>
    <w:rsid w:val="00D93C81"/>
    <w:rsid w:val="00DA732A"/>
    <w:rsid w:val="00E06003"/>
    <w:rsid w:val="00E15C0F"/>
    <w:rsid w:val="00E53C65"/>
    <w:rsid w:val="00E65E76"/>
    <w:rsid w:val="00EA4D0D"/>
    <w:rsid w:val="00EB275E"/>
    <w:rsid w:val="00EC1E7D"/>
    <w:rsid w:val="00ED05BF"/>
    <w:rsid w:val="00EE2423"/>
    <w:rsid w:val="00EF0A6D"/>
    <w:rsid w:val="00F00438"/>
    <w:rsid w:val="00F01F15"/>
    <w:rsid w:val="00F137B6"/>
    <w:rsid w:val="00F16465"/>
    <w:rsid w:val="00F223FC"/>
    <w:rsid w:val="00F2391A"/>
    <w:rsid w:val="00F3635F"/>
    <w:rsid w:val="00F52648"/>
    <w:rsid w:val="00F702D6"/>
    <w:rsid w:val="00F84563"/>
    <w:rsid w:val="00F87BF7"/>
    <w:rsid w:val="00FB63F7"/>
    <w:rsid w:val="00FD0EA7"/>
    <w:rsid w:val="00FD6736"/>
    <w:rsid w:val="00FE4331"/>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57D06"/>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057D06"/>
    <w:rPr>
      <w:rFonts w:ascii="Symbol" w:hAnsi="Symbol" w:cs="Symbol" w:hint="default"/>
    </w:rPr>
  </w:style>
  <w:style w:type="character" w:customStyle="1" w:styleId="WW8Num1z1">
    <w:name w:val="WW8Num1z1"/>
    <w:rsid w:val="00057D06"/>
    <w:rPr>
      <w:rFonts w:ascii="Courier New" w:hAnsi="Courier New" w:cs="Courier New" w:hint="default"/>
    </w:rPr>
  </w:style>
  <w:style w:type="character" w:customStyle="1" w:styleId="WW8Num1z2">
    <w:name w:val="WW8Num1z2"/>
    <w:rsid w:val="00057D06"/>
    <w:rPr>
      <w:rFonts w:ascii="Wingdings" w:hAnsi="Wingdings" w:cs="Wingdings" w:hint="default"/>
    </w:rPr>
  </w:style>
  <w:style w:type="character" w:customStyle="1" w:styleId="3">
    <w:name w:val="Основной шрифт абзаца3"/>
    <w:rsid w:val="00057D06"/>
  </w:style>
  <w:style w:type="character" w:customStyle="1" w:styleId="5">
    <w:name w:val="Знак Знак5"/>
    <w:rsid w:val="00057D06"/>
    <w:rPr>
      <w:sz w:val="22"/>
      <w:szCs w:val="22"/>
      <w:lang w:val="en-US"/>
    </w:rPr>
  </w:style>
  <w:style w:type="character" w:customStyle="1" w:styleId="4">
    <w:name w:val="Знак Знак4"/>
    <w:rsid w:val="00057D06"/>
    <w:rPr>
      <w:sz w:val="22"/>
      <w:szCs w:val="22"/>
      <w:lang w:val="en-US"/>
    </w:rPr>
  </w:style>
  <w:style w:type="character" w:customStyle="1" w:styleId="30">
    <w:name w:val="Знак Знак3"/>
    <w:rsid w:val="00057D06"/>
    <w:rPr>
      <w:rFonts w:ascii="Tahoma" w:hAnsi="Tahoma" w:cs="Tahoma"/>
      <w:sz w:val="16"/>
      <w:szCs w:val="16"/>
      <w:lang w:val="en-US"/>
    </w:rPr>
  </w:style>
  <w:style w:type="character" w:customStyle="1" w:styleId="2">
    <w:name w:val="Знак примечания2"/>
    <w:rsid w:val="00057D06"/>
    <w:rPr>
      <w:sz w:val="16"/>
      <w:szCs w:val="16"/>
    </w:rPr>
  </w:style>
  <w:style w:type="character" w:customStyle="1" w:styleId="20">
    <w:name w:val="Знак Знак2"/>
    <w:rsid w:val="00057D06"/>
    <w:rPr>
      <w:lang w:val="en-US"/>
    </w:rPr>
  </w:style>
  <w:style w:type="character" w:customStyle="1" w:styleId="1">
    <w:name w:val="Знак Знак1"/>
    <w:rsid w:val="00057D06"/>
    <w:rPr>
      <w:b/>
      <w:bCs/>
      <w:lang w:val="en-US"/>
    </w:rPr>
  </w:style>
  <w:style w:type="character" w:customStyle="1" w:styleId="10">
    <w:name w:val="Основной шрифт абзаца1"/>
    <w:rsid w:val="00057D06"/>
  </w:style>
  <w:style w:type="character" w:customStyle="1" w:styleId="21">
    <w:name w:val="Основной шрифт абзаца2"/>
    <w:rsid w:val="00057D06"/>
  </w:style>
  <w:style w:type="character" w:customStyle="1" w:styleId="FooterChar">
    <w:name w:val="Footer Char"/>
    <w:rsid w:val="00057D06"/>
    <w:rPr>
      <w:rFonts w:ascii="Times New Roman" w:eastAsia="Times New Roman" w:hAnsi="Times New Roman" w:cs="Times New Roman"/>
      <w:sz w:val="24"/>
      <w:szCs w:val="24"/>
      <w:lang w:val="ru-RU"/>
    </w:rPr>
  </w:style>
  <w:style w:type="character" w:customStyle="1" w:styleId="11">
    <w:name w:val="Знак примечания1"/>
    <w:rsid w:val="00057D06"/>
    <w:rPr>
      <w:sz w:val="16"/>
      <w:szCs w:val="16"/>
    </w:rPr>
  </w:style>
  <w:style w:type="character" w:customStyle="1" w:styleId="CommentTextChar">
    <w:name w:val="Comment Text Char"/>
    <w:rsid w:val="00057D06"/>
    <w:rPr>
      <w:rFonts w:ascii="Times New Roman" w:eastAsia="Times New Roman" w:hAnsi="Times New Roman" w:cs="Times New Roman"/>
      <w:sz w:val="20"/>
      <w:szCs w:val="20"/>
      <w:lang w:val="ru-RU"/>
    </w:rPr>
  </w:style>
  <w:style w:type="character" w:customStyle="1" w:styleId="CommentSubjectChar">
    <w:name w:val="Comment Subject Char"/>
    <w:rsid w:val="00057D06"/>
    <w:rPr>
      <w:rFonts w:ascii="Times New Roman" w:eastAsia="Times New Roman" w:hAnsi="Times New Roman" w:cs="Times New Roman"/>
      <w:b/>
      <w:bCs/>
      <w:sz w:val="20"/>
      <w:szCs w:val="20"/>
      <w:lang w:val="ru-RU"/>
    </w:rPr>
  </w:style>
  <w:style w:type="character" w:customStyle="1" w:styleId="BalloonTextChar">
    <w:name w:val="Balloon Text Char"/>
    <w:rsid w:val="00057D06"/>
    <w:rPr>
      <w:rFonts w:ascii="Tahoma" w:eastAsia="Times New Roman" w:hAnsi="Tahoma" w:cs="Tahoma"/>
      <w:sz w:val="16"/>
      <w:szCs w:val="16"/>
      <w:lang w:val="ru-RU"/>
    </w:rPr>
  </w:style>
  <w:style w:type="character" w:customStyle="1" w:styleId="HeaderChar">
    <w:name w:val="Header Char"/>
    <w:rsid w:val="00057D06"/>
    <w:rPr>
      <w:rFonts w:ascii="Times New Roman" w:eastAsia="Times New Roman" w:hAnsi="Times New Roman" w:cs="Times New Roman"/>
      <w:sz w:val="24"/>
      <w:szCs w:val="24"/>
      <w:lang w:val="ru-RU"/>
    </w:rPr>
  </w:style>
  <w:style w:type="character" w:customStyle="1" w:styleId="FootnoteTextChar">
    <w:name w:val="Footnote Text Char"/>
    <w:rsid w:val="00057D06"/>
    <w:rPr>
      <w:rFonts w:ascii="Times New Roman" w:eastAsia="Times New Roman" w:hAnsi="Times New Roman" w:cs="Times New Roman"/>
      <w:lang w:val="ru-RU"/>
    </w:rPr>
  </w:style>
  <w:style w:type="character" w:customStyle="1" w:styleId="12">
    <w:name w:val="Знак сноски1"/>
    <w:rsid w:val="00057D06"/>
    <w:rPr>
      <w:vertAlign w:val="superscript"/>
    </w:rPr>
  </w:style>
  <w:style w:type="character" w:styleId="Hyperlink">
    <w:name w:val="Hyperlink"/>
    <w:rsid w:val="00057D06"/>
    <w:rPr>
      <w:color w:val="0000FF"/>
      <w:u w:val="single"/>
      <w:lang w:val="en-US" w:bidi="en-US"/>
    </w:rPr>
  </w:style>
  <w:style w:type="character" w:customStyle="1" w:styleId="ListLabel1">
    <w:name w:val="ListLabel 1"/>
    <w:rsid w:val="00057D06"/>
    <w:rPr>
      <w:rFonts w:eastAsia="Times New Roman" w:cs="Times New Roman"/>
    </w:rPr>
  </w:style>
  <w:style w:type="character" w:customStyle="1" w:styleId="ListLabel2">
    <w:name w:val="ListLabel 2"/>
    <w:rsid w:val="00057D06"/>
    <w:rPr>
      <w:rFonts w:cs="Courier New"/>
    </w:rPr>
  </w:style>
  <w:style w:type="character" w:customStyle="1" w:styleId="a">
    <w:name w:val="Знак Знак"/>
    <w:rsid w:val="00057D06"/>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057D06"/>
  </w:style>
  <w:style w:type="character" w:customStyle="1" w:styleId="selectable">
    <w:name w:val="selectable"/>
    <w:rsid w:val="00057D06"/>
  </w:style>
  <w:style w:type="character" w:styleId="Strong">
    <w:name w:val="Strong"/>
    <w:qFormat/>
    <w:rsid w:val="00057D06"/>
    <w:rPr>
      <w:b/>
      <w:bCs/>
    </w:rPr>
  </w:style>
  <w:style w:type="paragraph" w:customStyle="1" w:styleId="13">
    <w:name w:val="Заголовок1"/>
    <w:basedOn w:val="Normal"/>
    <w:next w:val="BodyText"/>
    <w:rsid w:val="00057D06"/>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057D06"/>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057D06"/>
    <w:rPr>
      <w:rFonts w:cs="Lohit Hindi"/>
    </w:rPr>
  </w:style>
  <w:style w:type="paragraph" w:styleId="Caption">
    <w:name w:val="caption"/>
    <w:basedOn w:val="Normal"/>
    <w:qFormat/>
    <w:rsid w:val="00057D06"/>
    <w:pPr>
      <w:suppressLineNumbers/>
      <w:spacing w:before="120" w:after="120"/>
    </w:pPr>
    <w:rPr>
      <w:rFonts w:cs="Arial"/>
      <w:i/>
      <w:iCs/>
      <w:sz w:val="24"/>
      <w:szCs w:val="24"/>
    </w:rPr>
  </w:style>
  <w:style w:type="paragraph" w:customStyle="1" w:styleId="a0">
    <w:name w:val="Покажчик"/>
    <w:basedOn w:val="Normal"/>
    <w:rsid w:val="00057D06"/>
    <w:pPr>
      <w:suppressLineNumbers/>
    </w:pPr>
    <w:rPr>
      <w:rFonts w:cs="Arial"/>
    </w:rPr>
  </w:style>
  <w:style w:type="paragraph" w:styleId="Header">
    <w:name w:val="header"/>
    <w:basedOn w:val="Normal"/>
    <w:link w:val="HeaderChar1"/>
    <w:uiPriority w:val="99"/>
    <w:rsid w:val="00057D06"/>
    <w:pPr>
      <w:spacing w:after="0" w:line="240" w:lineRule="auto"/>
    </w:pPr>
  </w:style>
  <w:style w:type="paragraph" w:styleId="Footer">
    <w:name w:val="footer"/>
    <w:basedOn w:val="Normal"/>
    <w:rsid w:val="00057D06"/>
    <w:pPr>
      <w:spacing w:after="0" w:line="240" w:lineRule="auto"/>
    </w:pPr>
  </w:style>
  <w:style w:type="paragraph" w:styleId="BalloonText">
    <w:name w:val="Balloon Text"/>
    <w:basedOn w:val="Normal"/>
    <w:rsid w:val="00057D06"/>
    <w:pPr>
      <w:spacing w:after="0" w:line="240" w:lineRule="auto"/>
    </w:pPr>
    <w:rPr>
      <w:rFonts w:ascii="Tahoma" w:hAnsi="Tahoma" w:cs="Tahoma"/>
      <w:sz w:val="16"/>
      <w:szCs w:val="16"/>
    </w:rPr>
  </w:style>
  <w:style w:type="paragraph" w:customStyle="1" w:styleId="22">
    <w:name w:val="Текст примечания2"/>
    <w:basedOn w:val="Normal"/>
    <w:rsid w:val="00057D06"/>
    <w:rPr>
      <w:sz w:val="20"/>
      <w:szCs w:val="20"/>
    </w:rPr>
  </w:style>
  <w:style w:type="paragraph" w:styleId="CommentSubject">
    <w:name w:val="annotation subject"/>
    <w:basedOn w:val="22"/>
    <w:next w:val="22"/>
    <w:rsid w:val="00057D06"/>
    <w:rPr>
      <w:b/>
      <w:bCs/>
    </w:rPr>
  </w:style>
  <w:style w:type="paragraph" w:customStyle="1" w:styleId="14">
    <w:name w:val="Название1"/>
    <w:basedOn w:val="Normal"/>
    <w:rsid w:val="00057D06"/>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057D06"/>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057D06"/>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057D06"/>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057D06"/>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057D06"/>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057D06"/>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057D06"/>
    <w:rPr>
      <w:b/>
      <w:bCs/>
    </w:rPr>
  </w:style>
  <w:style w:type="paragraph" w:customStyle="1" w:styleId="1a">
    <w:name w:val="Текст выноски1"/>
    <w:basedOn w:val="Normal"/>
    <w:rsid w:val="00057D06"/>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057D06"/>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057D06"/>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057D06"/>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1204</Words>
  <Characters>6868</Characters>
  <Application>Microsoft Office Word</Application>
  <DocSecurity>0</DocSecurity>
  <Lines>57</Lines>
  <Paragraphs>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8056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2020-07-29T20:26:00Z</dcterms:created>
  <dcterms:modified xsi:type="dcterms:W3CDTF">2020-07-29T20:26:00Z</dcterms:modified>
</cp:coreProperties>
</file>